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33C160B1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D41FCC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D41FCC">
        <w:rPr>
          <w:rFonts w:ascii="Arial" w:hAnsi="Arial" w:cs="Arial"/>
          <w:b/>
          <w:bCs/>
          <w:sz w:val="24"/>
          <w:szCs w:val="24"/>
        </w:rPr>
        <w:t>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D41FCC">
        <w:rPr>
          <w:rFonts w:ascii="Arial" w:hAnsi="Arial" w:cs="Arial"/>
          <w:b/>
          <w:bCs/>
          <w:sz w:val="24"/>
          <w:szCs w:val="24"/>
        </w:rPr>
        <w:t>118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="00726FC3" w:rsidRPr="00F73020">
        <w:rPr>
          <w:rFonts w:ascii="Arial" w:hAnsi="Arial" w:cs="Arial"/>
          <w:b/>
          <w:bCs/>
          <w:sz w:val="24"/>
          <w:szCs w:val="24"/>
        </w:rPr>
        <w:t>T</w:t>
      </w:r>
      <w:r w:rsidR="00463675" w:rsidRPr="00F73020">
        <w:rPr>
          <w:rFonts w:ascii="Arial" w:hAnsi="Arial" w:cs="Arial"/>
          <w:b/>
          <w:bCs/>
          <w:sz w:val="24"/>
          <w:szCs w:val="24"/>
        </w:rPr>
        <w:t>Doc</w:t>
      </w:r>
      <w:proofErr w:type="spellEnd"/>
      <w:r w:rsidR="00F73020" w:rsidRPr="00F73020">
        <w:rPr>
          <w:rFonts w:ascii="Arial" w:hAnsi="Arial" w:cs="Arial"/>
          <w:b/>
          <w:bCs/>
          <w:sz w:val="24"/>
          <w:szCs w:val="24"/>
        </w:rPr>
        <w:t xml:space="preserve"> </w:t>
      </w:r>
      <w:r w:rsidR="00F73020" w:rsidRPr="00F73020">
        <w:rPr>
          <w:rFonts w:ascii="Arial" w:hAnsi="Arial" w:cs="Arial"/>
          <w:b/>
          <w:bCs/>
          <w:sz w:val="24"/>
          <w:szCs w:val="24"/>
        </w:rPr>
        <w:t>R1-2407423</w:t>
      </w:r>
    </w:p>
    <w:p w14:paraId="78BA9C12" w14:textId="44B99DD4" w:rsidR="00463675" w:rsidRPr="000F4E43" w:rsidRDefault="00D41FC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Maastricht, The Netherlands, 19</w:t>
      </w:r>
      <w:r w:rsidRPr="00D41FC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-23</w:t>
      </w:r>
      <w:r w:rsidRPr="00D41FCC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bCs/>
          <w:sz w:val="24"/>
          <w:szCs w:val="24"/>
        </w:rPr>
        <w:t xml:space="preserve"> August 2024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68AC46C3" w:rsidR="00463675" w:rsidRPr="00D41FCC" w:rsidRDefault="00463675" w:rsidP="000F4E43">
      <w:pPr>
        <w:pStyle w:val="Title"/>
      </w:pPr>
      <w:r w:rsidRPr="000F4E43">
        <w:t>Title:</w:t>
      </w:r>
      <w:r w:rsidRPr="000F4E43">
        <w:tab/>
      </w:r>
      <w:r w:rsidR="00D41FCC" w:rsidRPr="00D41FCC">
        <w:t>Draft</w:t>
      </w:r>
      <w:r w:rsidRPr="00D41FCC">
        <w:t xml:space="preserve"> </w:t>
      </w:r>
      <w:r w:rsidR="00D41FCC" w:rsidRPr="00D41FCC">
        <w:t>LS response on power control parameters for unified TCI state framework</w:t>
      </w:r>
    </w:p>
    <w:p w14:paraId="51F1C868" w14:textId="632936A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bookmarkStart w:id="0" w:name="_Hlk175134625"/>
      <w:r w:rsidR="00D41FCC" w:rsidRPr="00D41FCC">
        <w:t xml:space="preserve">R1-2407413 </w:t>
      </w:r>
      <w:bookmarkEnd w:id="0"/>
      <w:r w:rsidR="00D41FCC" w:rsidRPr="00D41FCC">
        <w:t>LS response on power control parameters for unified TCI state framework</w:t>
      </w:r>
    </w:p>
    <w:p w14:paraId="43A20F61" w14:textId="65BC015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41FCC">
        <w:t>Rel-17</w:t>
      </w:r>
    </w:p>
    <w:p w14:paraId="3B34CEA9" w14:textId="540514F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41FCC">
        <w:t>NR-</w:t>
      </w:r>
      <w:proofErr w:type="spellStart"/>
      <w:r w:rsidR="00D41FCC">
        <w:t>feMIMO</w:t>
      </w:r>
      <w:proofErr w:type="spellEnd"/>
      <w:r w:rsidR="00D41FCC">
        <w:t>-</w:t>
      </w:r>
      <w:proofErr w:type="gramStart"/>
      <w:r w:rsidR="00D41FCC">
        <w:t>Core</w:t>
      </w:r>
      <w:proofErr w:type="gramEnd"/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70D7FC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B5419">
        <w:t>Ericsson</w:t>
      </w:r>
    </w:p>
    <w:p w14:paraId="616E0611" w14:textId="488415C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41FCC">
        <w:t>RAN2</w:t>
      </w:r>
    </w:p>
    <w:p w14:paraId="54EB973C" w14:textId="0E4517E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740BC41A" w:rsidR="00463675" w:rsidRPr="00D41FCC" w:rsidRDefault="00463675" w:rsidP="00D41FCC">
      <w:pPr>
        <w:pStyle w:val="Contact"/>
        <w:tabs>
          <w:tab w:val="clear" w:pos="2268"/>
        </w:tabs>
        <w:rPr>
          <w:b w:val="0"/>
          <w:bCs/>
        </w:rPr>
      </w:pPr>
      <w:r w:rsidRPr="00D41FCC">
        <w:rPr>
          <w:b w:val="0"/>
          <w:bCs/>
        </w:rPr>
        <w:t>Name:</w:t>
      </w:r>
      <w:r w:rsidR="00D41FCC" w:rsidRPr="00D41FCC">
        <w:rPr>
          <w:b w:val="0"/>
          <w:bCs/>
        </w:rPr>
        <w:t xml:space="preserve"> Claes Tidestav</w:t>
      </w:r>
      <w:r w:rsidRPr="00D41FCC">
        <w:rPr>
          <w:b w:val="0"/>
          <w:bCs/>
        </w:rPr>
        <w:tab/>
      </w:r>
      <w:r w:rsidRPr="00D41FCC">
        <w:rPr>
          <w:b w:val="0"/>
          <w:bCs/>
        </w:rPr>
        <w:tab/>
      </w:r>
    </w:p>
    <w:p w14:paraId="440F098E" w14:textId="0F873DA8" w:rsidR="00463675" w:rsidRPr="00D41FCC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D41FCC">
        <w:rPr>
          <w:b w:val="0"/>
          <w:bCs/>
        </w:rPr>
        <w:t>E-mail Address:</w:t>
      </w:r>
      <w:r w:rsidR="00D41FCC" w:rsidRPr="00D41FCC">
        <w:rPr>
          <w:b w:val="0"/>
          <w:bCs/>
        </w:rPr>
        <w:t xml:space="preserve"> </w:t>
      </w:r>
      <w:proofErr w:type="spellStart"/>
      <w:proofErr w:type="gramStart"/>
      <w:r w:rsidR="00D41FCC" w:rsidRPr="00D41FCC">
        <w:rPr>
          <w:b w:val="0"/>
          <w:bCs/>
        </w:rPr>
        <w:t>claes.tidestav</w:t>
      </w:r>
      <w:proofErr w:type="spellEnd"/>
      <w:proofErr w:type="gramEnd"/>
      <w:r w:rsidR="00D41FCC">
        <w:rPr>
          <w:b w:val="0"/>
          <w:bCs/>
        </w:rPr>
        <w:t xml:space="preserve"> (at) </w:t>
      </w:r>
      <w:r w:rsidR="00D41FCC" w:rsidRPr="00D41FCC">
        <w:rPr>
          <w:b w:val="0"/>
          <w:bCs/>
        </w:rPr>
        <w:t>ericsson.com</w:t>
      </w:r>
      <w:r w:rsidRPr="00D41FCC">
        <w:rPr>
          <w:b w:val="0"/>
          <w:bCs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394E155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41FCC" w:rsidRPr="00D41FCC">
        <w:rPr>
          <w:b w:val="0"/>
          <w:bCs w:val="0"/>
        </w:rPr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BAF579" w14:textId="38C30070" w:rsidR="00D41FCC" w:rsidRPr="00835CDC" w:rsidRDefault="00D41FCC">
      <w:pPr>
        <w:rPr>
          <w:rFonts w:ascii="Arial" w:hAnsi="Arial" w:cs="Arial"/>
        </w:rPr>
      </w:pPr>
      <w:r w:rsidRPr="00835CDC">
        <w:rPr>
          <w:rFonts w:ascii="Arial" w:hAnsi="Arial" w:cs="Arial"/>
        </w:rPr>
        <w:t>RAN1 thanks RAN2 for the questions on the power control parameter configuration for the unified TCI framework.</w:t>
      </w:r>
    </w:p>
    <w:p w14:paraId="615CBA1D" w14:textId="77777777" w:rsidR="00D41FCC" w:rsidRPr="00835CDC" w:rsidRDefault="00D41FCC">
      <w:pPr>
        <w:rPr>
          <w:rFonts w:ascii="Arial" w:hAnsi="Arial" w:cs="Arial"/>
        </w:rPr>
      </w:pPr>
    </w:p>
    <w:p w14:paraId="7B4694F5" w14:textId="1B57FEEE" w:rsidR="00835CDC" w:rsidRPr="00835CDC" w:rsidRDefault="00835CDC">
      <w:pPr>
        <w:rPr>
          <w:rFonts w:ascii="Arial" w:hAnsi="Arial" w:cs="Arial"/>
        </w:rPr>
      </w:pPr>
      <w:r w:rsidRPr="00835CDC">
        <w:rPr>
          <w:rFonts w:ascii="Arial" w:hAnsi="Arial" w:cs="Arial"/>
        </w:rPr>
        <w:t>In the LS</w:t>
      </w:r>
      <w:r>
        <w:rPr>
          <w:rFonts w:ascii="Arial" w:hAnsi="Arial" w:cs="Arial"/>
        </w:rPr>
        <w:t xml:space="preserve"> </w:t>
      </w:r>
      <w:r w:rsidRPr="00835CDC">
        <w:rPr>
          <w:rFonts w:ascii="Arial" w:hAnsi="Arial" w:cs="Arial"/>
        </w:rPr>
        <w:t>R1-2407413, RAN2 poses the questions:</w:t>
      </w:r>
    </w:p>
    <w:p w14:paraId="2E3E12D4" w14:textId="2869DE05" w:rsidR="00835CDC" w:rsidRDefault="00835CDC">
      <w:pPr>
        <w:rPr>
          <w:rFonts w:ascii="Arial" w:hAnsi="Arial" w:cs="Arial"/>
          <w:color w:val="FF0000"/>
        </w:rPr>
      </w:pPr>
      <w:r w:rsidRPr="00835CDC">
        <w:rPr>
          <w:rFonts w:ascii="Arial" w:hAnsi="Arial" w:cs="Arial"/>
          <w:noProof/>
          <w:color w:val="FF0000"/>
        </w:rPr>
        <mc:AlternateContent>
          <mc:Choice Requires="wps">
            <w:drawing>
              <wp:inline distT="0" distB="0" distL="0" distR="0" wp14:anchorId="00773445" wp14:editId="129BA6D0">
                <wp:extent cx="6120765" cy="639758"/>
                <wp:effectExtent l="0" t="0" r="13335" b="2286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59764B" w14:textId="77777777" w:rsidR="00835CDC" w:rsidRDefault="00835CDC" w:rsidP="00835CDC">
                            <w:pPr>
                              <w:spacing w:after="120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Question1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: Are there any power control parameters which are not present within the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Uplink-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PowerControl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that are necessary to be configured at the UE when the unified TCI state framework is configured (i.e., when the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Uplink-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PowerControl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is included in the TCI state configuration)?</w:t>
                            </w:r>
                          </w:p>
                          <w:p w14:paraId="488703F3" w14:textId="37C977D1" w:rsidR="00835CDC" w:rsidRPr="00835CDC" w:rsidRDefault="00835CDC" w:rsidP="00835CDC">
                            <w:pPr>
                              <w:spacing w:after="12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Question 2: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If there are parameters from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PUCCH-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PowerControl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PUSCH-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PowerControl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which are needed when the unified TCI state framework is configured (i.e., when the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Uplink-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PowerControl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is included in the TCI state configuration), should this parameter be part of the TCI state configuration or the existing parameters from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PUCCH-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PowerControl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PUSCH-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PowerControl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can be re-used?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77344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+BwNwIAAHw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" fillcolor="white [3201]" strokeweight=".5pt">
                <v:textbox style="mso-fit-shape-to-text:t">
                  <w:txbxContent>
                    <w:p w14:paraId="1B59764B" w14:textId="77777777" w:rsidR="00835CDC" w:rsidRDefault="00835CDC" w:rsidP="00835CDC">
                      <w:pPr>
                        <w:spacing w:after="120"/>
                        <w:rPr>
                          <w:rFonts w:ascii="Arial" w:hAnsi="Arial" w:cs="Arial"/>
                          <w:lang w:eastAsia="ja-JP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Question1</w:t>
                      </w:r>
                      <w:r>
                        <w:rPr>
                          <w:rFonts w:ascii="Arial" w:hAnsi="Arial" w:cs="Arial"/>
                        </w:rPr>
                        <w:t xml:space="preserve">: Are there any power control parameters which are not present within the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Uplink-PowerControl</w:t>
                      </w:r>
                      <w:r>
                        <w:rPr>
                          <w:rFonts w:ascii="Arial" w:hAnsi="Arial" w:cs="Arial"/>
                        </w:rPr>
                        <w:t xml:space="preserve"> that are necessary to be configured at the UE when the unified TCI state framework is configured (i.e., when the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Uplink-PowerControl</w:t>
                      </w:r>
                      <w:r>
                        <w:rPr>
                          <w:rFonts w:ascii="Arial" w:hAnsi="Arial" w:cs="Arial"/>
                        </w:rPr>
                        <w:t xml:space="preserve"> is included in the TCI state configuration)?</w:t>
                      </w:r>
                    </w:p>
                    <w:p w14:paraId="488703F3" w14:textId="37C977D1" w:rsidR="00835CDC" w:rsidRPr="00835CDC" w:rsidRDefault="00835CDC" w:rsidP="00835CDC">
                      <w:pPr>
                        <w:spacing w:after="12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Question 2:</w:t>
                      </w:r>
                      <w:r>
                        <w:rPr>
                          <w:rFonts w:ascii="Arial" w:hAnsi="Arial" w:cs="Arial"/>
                        </w:rPr>
                        <w:t xml:space="preserve"> If there are parameters from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PUCCH-PowerControl</w:t>
                      </w:r>
                      <w:r>
                        <w:rPr>
                          <w:rFonts w:ascii="Arial" w:hAnsi="Arial" w:cs="Arial"/>
                        </w:rPr>
                        <w:t xml:space="preserve"> and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PUSCH-PowerControl</w:t>
                      </w:r>
                      <w:r>
                        <w:rPr>
                          <w:rFonts w:ascii="Arial" w:hAnsi="Arial" w:cs="Arial"/>
                        </w:rPr>
                        <w:t xml:space="preserve"> which are needed when the unified TCI state framework is configured (i.e., when the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Uplink-PowerControl</w:t>
                      </w:r>
                      <w:r>
                        <w:rPr>
                          <w:rFonts w:ascii="Arial" w:hAnsi="Arial" w:cs="Arial"/>
                        </w:rPr>
                        <w:t xml:space="preserve"> is included in the TCI state configuration), should this parameter be part of the TCI state configuration or the existing parameters from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PUCCH-PowerControl</w:t>
                      </w:r>
                      <w:r>
                        <w:rPr>
                          <w:rFonts w:ascii="Arial" w:hAnsi="Arial" w:cs="Arial"/>
                        </w:rPr>
                        <w:t xml:space="preserve"> and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PUSCH-PowerControl</w:t>
                      </w:r>
                      <w:r>
                        <w:rPr>
                          <w:rFonts w:ascii="Arial" w:hAnsi="Arial" w:cs="Arial"/>
                        </w:rPr>
                        <w:t xml:space="preserve"> can be re-used?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CF70948" w14:textId="77777777" w:rsidR="00835CDC" w:rsidRDefault="00835CDC">
      <w:pPr>
        <w:rPr>
          <w:rFonts w:ascii="Arial" w:hAnsi="Arial" w:cs="Arial"/>
          <w:color w:val="FF0000"/>
        </w:rPr>
      </w:pPr>
    </w:p>
    <w:p w14:paraId="429A2513" w14:textId="6816E5EC" w:rsidR="00835CDC" w:rsidRDefault="00835CDC">
      <w:pPr>
        <w:rPr>
          <w:rFonts w:ascii="Arial" w:hAnsi="Arial" w:cs="Arial"/>
        </w:rPr>
      </w:pPr>
      <w:r w:rsidRPr="00835CDC">
        <w:rPr>
          <w:rFonts w:ascii="Arial" w:hAnsi="Arial" w:cs="Arial"/>
          <w:b/>
          <w:bCs/>
        </w:rPr>
        <w:t>Reply to question 1: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Yes. In PUSCH-</w:t>
      </w:r>
      <w:proofErr w:type="spellStart"/>
      <w:r>
        <w:rPr>
          <w:rFonts w:ascii="Arial" w:hAnsi="Arial" w:cs="Arial"/>
        </w:rPr>
        <w:t>PowerControl</w:t>
      </w:r>
      <w:proofErr w:type="spellEnd"/>
      <w:r>
        <w:rPr>
          <w:rFonts w:ascii="Arial" w:hAnsi="Arial" w:cs="Arial"/>
        </w:rPr>
        <w:t xml:space="preserve">, </w:t>
      </w:r>
      <w:r w:rsidR="000B6C64">
        <w:rPr>
          <w:rFonts w:ascii="Arial" w:hAnsi="Arial" w:cs="Arial"/>
        </w:rPr>
        <w:t xml:space="preserve">it should be possible to configure </w:t>
      </w:r>
      <w:r w:rsidR="00F73020" w:rsidRPr="00B77182">
        <w:rPr>
          <w:rFonts w:ascii="Arial" w:hAnsi="Arial" w:cs="Arial"/>
          <w:i/>
          <w:iCs/>
        </w:rPr>
        <w:t xml:space="preserve">all parameters except </w:t>
      </w:r>
      <w:r w:rsidRPr="00B77182">
        <w:rPr>
          <w:rFonts w:ascii="Arial" w:hAnsi="Arial" w:cs="Arial"/>
          <w:i/>
          <w:iCs/>
        </w:rPr>
        <w:t xml:space="preserve">the </w:t>
      </w:r>
      <w:r w:rsidRPr="00B77182">
        <w:rPr>
          <w:rFonts w:ascii="Arial" w:hAnsi="Arial" w:cs="Arial"/>
          <w:i/>
          <w:iCs/>
        </w:rPr>
        <w:t>following</w:t>
      </w:r>
      <w:r>
        <w:rPr>
          <w:rFonts w:ascii="Arial" w:hAnsi="Arial" w:cs="Arial"/>
        </w:rPr>
        <w:t>:</w:t>
      </w:r>
    </w:p>
    <w:p w14:paraId="27B0FFF4" w14:textId="04D647FE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p0-AlphaSets</w:t>
      </w:r>
      <w:r w:rsidRPr="00B77182">
        <w:rPr>
          <w:rFonts w:ascii="Arial" w:hAnsi="Arial" w:cs="Arial"/>
        </w:rPr>
        <w:tab/>
      </w:r>
    </w:p>
    <w:p w14:paraId="4C580E87" w14:textId="2B94A022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proofErr w:type="spellStart"/>
      <w:r w:rsidRPr="00B77182">
        <w:rPr>
          <w:rFonts w:ascii="Arial" w:hAnsi="Arial" w:cs="Arial"/>
        </w:rPr>
        <w:t>pathlossReferenceRSToAddModList</w:t>
      </w:r>
      <w:proofErr w:type="spellEnd"/>
      <w:r w:rsidRPr="00B77182">
        <w:rPr>
          <w:rFonts w:ascii="Arial" w:hAnsi="Arial" w:cs="Arial"/>
        </w:rPr>
        <w:tab/>
      </w:r>
    </w:p>
    <w:p w14:paraId="6932378B" w14:textId="5F5659DB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proofErr w:type="spellStart"/>
      <w:r w:rsidRPr="00B77182">
        <w:rPr>
          <w:rFonts w:ascii="Arial" w:hAnsi="Arial" w:cs="Arial"/>
        </w:rPr>
        <w:t>pathlossReferenceRSToReleaseList</w:t>
      </w:r>
      <w:proofErr w:type="spellEnd"/>
      <w:r w:rsidRPr="00B77182">
        <w:rPr>
          <w:rFonts w:ascii="Arial" w:hAnsi="Arial" w:cs="Arial"/>
        </w:rPr>
        <w:tab/>
      </w:r>
    </w:p>
    <w:p w14:paraId="334F9448" w14:textId="35E473C7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proofErr w:type="spellStart"/>
      <w:r w:rsidRPr="00B77182">
        <w:rPr>
          <w:rFonts w:ascii="Arial" w:hAnsi="Arial" w:cs="Arial"/>
        </w:rPr>
        <w:t>sri</w:t>
      </w:r>
      <w:proofErr w:type="spellEnd"/>
      <w:r w:rsidRPr="00B77182">
        <w:rPr>
          <w:rFonts w:ascii="Arial" w:hAnsi="Arial" w:cs="Arial"/>
        </w:rPr>
        <w:t>-PUSCH-</w:t>
      </w:r>
      <w:proofErr w:type="spellStart"/>
      <w:r w:rsidRPr="00B77182">
        <w:rPr>
          <w:rFonts w:ascii="Arial" w:hAnsi="Arial" w:cs="Arial"/>
        </w:rPr>
        <w:t>MappingToAddModList</w:t>
      </w:r>
      <w:proofErr w:type="spellEnd"/>
      <w:r w:rsidRPr="00B77182">
        <w:rPr>
          <w:rFonts w:ascii="Arial" w:hAnsi="Arial" w:cs="Arial"/>
        </w:rPr>
        <w:tab/>
      </w:r>
    </w:p>
    <w:p w14:paraId="0B55DB24" w14:textId="77777777" w:rsid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proofErr w:type="spellStart"/>
      <w:r w:rsidRPr="00B77182">
        <w:rPr>
          <w:rFonts w:ascii="Arial" w:hAnsi="Arial" w:cs="Arial"/>
        </w:rPr>
        <w:t>sri</w:t>
      </w:r>
      <w:proofErr w:type="spellEnd"/>
      <w:r w:rsidRPr="00B77182">
        <w:rPr>
          <w:rFonts w:ascii="Arial" w:hAnsi="Arial" w:cs="Arial"/>
        </w:rPr>
        <w:t>-PUSCH-</w:t>
      </w:r>
      <w:proofErr w:type="spellStart"/>
      <w:r w:rsidRPr="00B77182">
        <w:rPr>
          <w:rFonts w:ascii="Arial" w:hAnsi="Arial" w:cs="Arial"/>
        </w:rPr>
        <w:t>MappingToReleaseList</w:t>
      </w:r>
      <w:proofErr w:type="spellEnd"/>
    </w:p>
    <w:p w14:paraId="64B36AAA" w14:textId="52D4B588" w:rsid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pathlossReferenceRSToAddModListSizeExt-v1610</w:t>
      </w:r>
    </w:p>
    <w:p w14:paraId="03CCE035" w14:textId="0FD59036" w:rsid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pathlossReferenceRSToReleaseListSizeExt-v1610</w:t>
      </w:r>
    </w:p>
    <w:p w14:paraId="134807AD" w14:textId="675BF02D" w:rsid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sri-PUSCH-MappingToAddModList2-r17</w:t>
      </w:r>
    </w:p>
    <w:p w14:paraId="7412C939" w14:textId="3EA998D3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sri-PUSCH-MappingToReleaseList2-r17</w:t>
      </w:r>
    </w:p>
    <w:p w14:paraId="29EC51EA" w14:textId="77777777" w:rsidR="00B77182" w:rsidRDefault="00B77182">
      <w:pPr>
        <w:rPr>
          <w:rFonts w:ascii="Arial" w:hAnsi="Arial" w:cs="Arial"/>
        </w:rPr>
      </w:pPr>
    </w:p>
    <w:p w14:paraId="41A1904B" w14:textId="1A49C22D" w:rsidR="00835CDC" w:rsidRDefault="00835CDC" w:rsidP="00835CDC">
      <w:pPr>
        <w:rPr>
          <w:rFonts w:ascii="Arial" w:hAnsi="Arial" w:cs="Arial"/>
        </w:rPr>
      </w:pPr>
      <w:r>
        <w:rPr>
          <w:rFonts w:ascii="Arial" w:hAnsi="Arial" w:cs="Arial"/>
        </w:rPr>
        <w:t>In PUCCH-</w:t>
      </w:r>
      <w:proofErr w:type="spellStart"/>
      <w:r>
        <w:rPr>
          <w:rFonts w:ascii="Arial" w:hAnsi="Arial" w:cs="Arial"/>
        </w:rPr>
        <w:t>PowerControl</w:t>
      </w:r>
      <w:proofErr w:type="spellEnd"/>
      <w:r>
        <w:rPr>
          <w:rFonts w:ascii="Arial" w:hAnsi="Arial" w:cs="Arial"/>
        </w:rPr>
        <w:t xml:space="preserve">, </w:t>
      </w:r>
      <w:r w:rsidR="000B6C64">
        <w:rPr>
          <w:rFonts w:ascii="Arial" w:hAnsi="Arial" w:cs="Arial"/>
        </w:rPr>
        <w:t xml:space="preserve">it should be possible to configure </w:t>
      </w:r>
      <w:r w:rsidR="00B77182" w:rsidRPr="00B77182">
        <w:rPr>
          <w:rFonts w:ascii="Arial" w:hAnsi="Arial" w:cs="Arial"/>
          <w:i/>
          <w:iCs/>
        </w:rPr>
        <w:t xml:space="preserve">all parameters except </w:t>
      </w:r>
      <w:r w:rsidRPr="00B77182">
        <w:rPr>
          <w:rFonts w:ascii="Arial" w:hAnsi="Arial" w:cs="Arial"/>
          <w:i/>
          <w:iCs/>
        </w:rPr>
        <w:t>the following</w:t>
      </w:r>
      <w:r>
        <w:rPr>
          <w:rFonts w:ascii="Arial" w:hAnsi="Arial" w:cs="Arial"/>
        </w:rPr>
        <w:t>:</w:t>
      </w:r>
    </w:p>
    <w:p w14:paraId="6AE37A1A" w14:textId="388F88AA" w:rsidR="00B77182" w:rsidRPr="00B77182" w:rsidRDefault="00B77182" w:rsidP="00B77182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p0-Set</w:t>
      </w:r>
      <w:r w:rsidRPr="00B77182">
        <w:rPr>
          <w:rFonts w:ascii="Arial" w:hAnsi="Arial" w:cs="Arial"/>
        </w:rPr>
        <w:tab/>
      </w:r>
    </w:p>
    <w:p w14:paraId="33D038C6" w14:textId="141E9539" w:rsidR="00B77182" w:rsidRPr="00B77182" w:rsidRDefault="00B77182" w:rsidP="00B77182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B77182">
        <w:rPr>
          <w:rFonts w:ascii="Arial" w:hAnsi="Arial" w:cs="Arial"/>
        </w:rPr>
        <w:t>pathlossReferenceRSs</w:t>
      </w:r>
      <w:proofErr w:type="spellEnd"/>
      <w:r w:rsidRPr="00B77182">
        <w:rPr>
          <w:rFonts w:ascii="Arial" w:hAnsi="Arial" w:cs="Arial"/>
        </w:rPr>
        <w:tab/>
      </w:r>
    </w:p>
    <w:p w14:paraId="37B65F60" w14:textId="535950DB" w:rsidR="00463675" w:rsidRDefault="00B77182" w:rsidP="007F5977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pathlossReferenceRSs-v1610</w:t>
      </w:r>
    </w:p>
    <w:p w14:paraId="564A46F0" w14:textId="77777777" w:rsidR="00B77182" w:rsidRPr="00B77182" w:rsidRDefault="00B77182" w:rsidP="007F5977">
      <w:pPr>
        <w:pStyle w:val="ListParagraph"/>
        <w:numPr>
          <w:ilvl w:val="0"/>
          <w:numId w:val="15"/>
        </w:numPr>
        <w:rPr>
          <w:rFonts w:ascii="Arial" w:hAnsi="Arial" w:cs="Arial"/>
        </w:rPr>
      </w:pPr>
    </w:p>
    <w:p w14:paraId="58EFC298" w14:textId="45BA3806" w:rsidR="00835CDC" w:rsidRPr="00835CDC" w:rsidRDefault="00835CDC" w:rsidP="00835CDC">
      <w:pPr>
        <w:rPr>
          <w:rFonts w:ascii="Arial" w:hAnsi="Arial" w:cs="Arial"/>
          <w:b/>
          <w:bCs/>
        </w:rPr>
      </w:pPr>
      <w:r w:rsidRPr="00835CDC">
        <w:rPr>
          <w:rFonts w:ascii="Arial" w:hAnsi="Arial" w:cs="Arial"/>
          <w:b/>
          <w:bCs/>
        </w:rPr>
        <w:t>Reply to question 2:</w:t>
      </w:r>
      <w:r w:rsidR="0037117C">
        <w:rPr>
          <w:rFonts w:ascii="Arial" w:hAnsi="Arial" w:cs="Arial"/>
          <w:b/>
          <w:bCs/>
        </w:rPr>
        <w:t xml:space="preserve"> </w:t>
      </w:r>
      <w:r w:rsidR="0037117C" w:rsidRPr="0037117C">
        <w:rPr>
          <w:rFonts w:ascii="Arial" w:hAnsi="Arial" w:cs="Arial"/>
        </w:rPr>
        <w:t>The existing parameters can be reused.</w:t>
      </w:r>
    </w:p>
    <w:p w14:paraId="7C620F3E" w14:textId="77777777" w:rsidR="00835CDC" w:rsidRPr="000F4E43" w:rsidRDefault="00835CD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52FEE2" w14:textId="77BC010E" w:rsidR="00835CDC" w:rsidRPr="000F4E43" w:rsidRDefault="00463675" w:rsidP="00835CD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35CDC" w:rsidRPr="00835CDC">
        <w:rPr>
          <w:rFonts w:ascii="Arial" w:hAnsi="Arial" w:cs="Arial"/>
          <w:bCs/>
        </w:rPr>
        <w:t>RAN1 kindly asks RAN2 to take the above information into account.</w:t>
      </w:r>
      <w:r w:rsidR="00835CDC">
        <w:rPr>
          <w:rFonts w:ascii="Arial" w:hAnsi="Arial" w:cs="Arial"/>
          <w:b/>
        </w:rPr>
        <w:t xml:space="preserve"> </w:t>
      </w:r>
    </w:p>
    <w:p w14:paraId="00AA3EC4" w14:textId="77777777" w:rsidR="00463675" w:rsidRPr="000F4E43" w:rsidRDefault="00463675" w:rsidP="00835CDC">
      <w:pPr>
        <w:spacing w:after="120"/>
        <w:rPr>
          <w:rFonts w:ascii="Arial" w:hAnsi="Arial" w:cs="Arial"/>
        </w:rPr>
      </w:pPr>
    </w:p>
    <w:p w14:paraId="1E3698AE" w14:textId="5950437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="00835CDC">
        <w:rPr>
          <w:rFonts w:ascii="Arial" w:hAnsi="Arial" w:cs="Arial"/>
          <w:b/>
        </w:rPr>
        <w:t>Next RAN WG1 Meetings</w:t>
      </w:r>
      <w:r w:rsidRPr="000F4E43">
        <w:rPr>
          <w:rFonts w:ascii="Arial" w:hAnsi="Arial" w:cs="Arial"/>
          <w:b/>
        </w:rPr>
        <w:t>:</w:t>
      </w:r>
    </w:p>
    <w:p w14:paraId="4CD2CD68" w14:textId="77777777" w:rsidR="00835CDC" w:rsidRDefault="00835CDC" w:rsidP="00835CD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18-bis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 xml:space="preserve">14 October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18 October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>
        <w:rPr>
          <w:rFonts w:ascii="Arial" w:eastAsia="MS Mincho" w:hAnsi="Arial" w:cs="Arial"/>
          <w:bCs/>
          <w:lang w:val="en-US"/>
        </w:rPr>
        <w:t>4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lang w:val="en-US"/>
        </w:rPr>
        <w:t>Hefei</w:t>
      </w:r>
      <w:r w:rsidRPr="0085114A">
        <w:rPr>
          <w:rFonts w:ascii="Arial" w:eastAsia="MS Mincho" w:hAnsi="Arial" w:cs="Arial" w:hint="eastAsia"/>
          <w:lang w:val="en-US"/>
        </w:rPr>
        <w:t>,</w:t>
      </w:r>
      <w:r w:rsidRPr="0085114A">
        <w:rPr>
          <w:rFonts w:ascii="Arial" w:eastAsia="MS Mincho" w:hAnsi="Arial" w:cs="Arial"/>
          <w:lang w:val="en-US"/>
        </w:rPr>
        <w:t xml:space="preserve"> </w:t>
      </w:r>
      <w:r>
        <w:rPr>
          <w:rFonts w:ascii="Arial" w:eastAsia="MS Mincho" w:hAnsi="Arial" w:cs="Arial"/>
          <w:lang w:val="en-US"/>
        </w:rPr>
        <w:t>China</w:t>
      </w:r>
    </w:p>
    <w:p w14:paraId="4E1EEC71" w14:textId="77777777" w:rsidR="00835CDC" w:rsidRDefault="00835CDC" w:rsidP="00835CD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</w:t>
      </w:r>
      <w:r>
        <w:rPr>
          <w:rFonts w:ascii="Arial" w:eastAsia="MS Mincho" w:hAnsi="Arial" w:cs="Arial"/>
          <w:bCs/>
          <w:lang w:val="en-US"/>
        </w:rPr>
        <w:t>119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 xml:space="preserve">18 November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22 November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>
        <w:rPr>
          <w:rFonts w:ascii="Arial" w:eastAsia="MS Mincho" w:hAnsi="Arial" w:cs="Arial"/>
          <w:bCs/>
          <w:lang w:val="en-US"/>
        </w:rPr>
        <w:t>4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lang w:val="en-US"/>
        </w:rPr>
        <w:t>Orlando</w:t>
      </w:r>
      <w:r w:rsidRPr="0085114A">
        <w:rPr>
          <w:rFonts w:ascii="Arial" w:eastAsia="MS Mincho" w:hAnsi="Arial" w:cs="Arial" w:hint="eastAsia"/>
          <w:lang w:val="en-US"/>
        </w:rPr>
        <w:t>,</w:t>
      </w:r>
      <w:r w:rsidRPr="0085114A">
        <w:rPr>
          <w:rFonts w:ascii="Arial" w:eastAsia="MS Mincho" w:hAnsi="Arial" w:cs="Arial"/>
          <w:lang w:val="en-US"/>
        </w:rPr>
        <w:t xml:space="preserve"> </w:t>
      </w:r>
      <w:r>
        <w:rPr>
          <w:rFonts w:ascii="Arial" w:eastAsia="MS Mincho" w:hAnsi="Arial" w:cs="Arial"/>
          <w:lang w:val="en-US"/>
        </w:rPr>
        <w:t>USA</w:t>
      </w:r>
    </w:p>
    <w:p w14:paraId="2D3CEEFE" w14:textId="155DDC22" w:rsidR="00463675" w:rsidRPr="000F4E43" w:rsidRDefault="00463675" w:rsidP="00835C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A4821" w14:textId="77777777" w:rsidR="00A94338" w:rsidRDefault="00A94338">
      <w:r>
        <w:separator/>
      </w:r>
    </w:p>
  </w:endnote>
  <w:endnote w:type="continuationSeparator" w:id="0">
    <w:p w14:paraId="206B7821" w14:textId="77777777" w:rsidR="00A94338" w:rsidRDefault="00A94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1C470" w14:textId="77777777" w:rsidR="00A94338" w:rsidRDefault="00A94338">
      <w:r>
        <w:separator/>
      </w:r>
    </w:p>
  </w:footnote>
  <w:footnote w:type="continuationSeparator" w:id="0">
    <w:p w14:paraId="7F3AF54D" w14:textId="77777777" w:rsidR="00A94338" w:rsidRDefault="00A94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1D01AE9"/>
    <w:multiLevelType w:val="hybridMultilevel"/>
    <w:tmpl w:val="374271D2"/>
    <w:lvl w:ilvl="0" w:tplc="FD24E1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964494F"/>
    <w:multiLevelType w:val="hybridMultilevel"/>
    <w:tmpl w:val="04465980"/>
    <w:lvl w:ilvl="0" w:tplc="64D808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109489">
    <w:abstractNumId w:val="14"/>
  </w:num>
  <w:num w:numId="2" w16cid:durableId="2051489443">
    <w:abstractNumId w:val="13"/>
  </w:num>
  <w:num w:numId="3" w16cid:durableId="1621180126">
    <w:abstractNumId w:val="11"/>
  </w:num>
  <w:num w:numId="4" w16cid:durableId="159663367">
    <w:abstractNumId w:val="10"/>
  </w:num>
  <w:num w:numId="5" w16cid:durableId="33388608">
    <w:abstractNumId w:val="9"/>
  </w:num>
  <w:num w:numId="6" w16cid:durableId="1674337424">
    <w:abstractNumId w:val="7"/>
  </w:num>
  <w:num w:numId="7" w16cid:durableId="1058897699">
    <w:abstractNumId w:val="6"/>
  </w:num>
  <w:num w:numId="8" w16cid:durableId="732773854">
    <w:abstractNumId w:val="5"/>
  </w:num>
  <w:num w:numId="9" w16cid:durableId="117456690">
    <w:abstractNumId w:val="4"/>
  </w:num>
  <w:num w:numId="10" w16cid:durableId="1099838432">
    <w:abstractNumId w:val="8"/>
  </w:num>
  <w:num w:numId="11" w16cid:durableId="1375501293">
    <w:abstractNumId w:val="3"/>
  </w:num>
  <w:num w:numId="12" w16cid:durableId="1408110589">
    <w:abstractNumId w:val="2"/>
  </w:num>
  <w:num w:numId="13" w16cid:durableId="589049695">
    <w:abstractNumId w:val="1"/>
  </w:num>
  <w:num w:numId="14" w16cid:durableId="114832165">
    <w:abstractNumId w:val="0"/>
  </w:num>
  <w:num w:numId="15" w16cid:durableId="1323005659">
    <w:abstractNumId w:val="12"/>
  </w:num>
  <w:num w:numId="16" w16cid:durableId="177524277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B6C64"/>
    <w:rsid w:val="000F4E43"/>
    <w:rsid w:val="003272F3"/>
    <w:rsid w:val="0037117C"/>
    <w:rsid w:val="00463675"/>
    <w:rsid w:val="00584B08"/>
    <w:rsid w:val="00712F84"/>
    <w:rsid w:val="00726FC3"/>
    <w:rsid w:val="00835CDC"/>
    <w:rsid w:val="008B5419"/>
    <w:rsid w:val="00923E7C"/>
    <w:rsid w:val="0095667A"/>
    <w:rsid w:val="009D1E81"/>
    <w:rsid w:val="00A73CDC"/>
    <w:rsid w:val="00A94338"/>
    <w:rsid w:val="00AD5E13"/>
    <w:rsid w:val="00B77182"/>
    <w:rsid w:val="00CB496C"/>
    <w:rsid w:val="00D41FCC"/>
    <w:rsid w:val="00F7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35CDC"/>
    <w:pPr>
      <w:ind w:left="720"/>
      <w:contextualSpacing/>
    </w:pPr>
  </w:style>
  <w:style w:type="paragraph" w:styleId="Revision">
    <w:name w:val="Revision"/>
    <w:hidden/>
    <w:uiPriority w:val="99"/>
    <w:semiHidden/>
    <w:rsid w:val="000B6C6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0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4ED0C75-2871-43C4-80F1-C17BF45C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2024-08-21T14:44:00Z</dcterms:created>
  <dcterms:modified xsi:type="dcterms:W3CDTF">2024-08-21T14:53:00Z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